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6044" w14:textId="77777777" w:rsidR="00F469E6" w:rsidRDefault="00F469E6" w:rsidP="00F469E6">
      <w:pPr>
        <w:pStyle w:val="NormalWeb"/>
        <w:jc w:val="center"/>
        <w:rPr>
          <w:rFonts w:asciiTheme="minorHAnsi" w:hAnsiTheme="minorHAnsi" w:cstheme="minorHAnsi"/>
          <w:b/>
          <w:bCs/>
          <w:lang w:val="es-ES"/>
        </w:rPr>
      </w:pPr>
    </w:p>
    <w:p w14:paraId="56ED36EF" w14:textId="2DE3BE7F" w:rsidR="6F7B2CAC" w:rsidRPr="006D2F21" w:rsidRDefault="00F469E6" w:rsidP="006D2F21">
      <w:pPr>
        <w:pStyle w:val="NormalWeb"/>
        <w:jc w:val="center"/>
        <w:rPr>
          <w:rFonts w:asciiTheme="minorHAnsi" w:hAnsiTheme="minorHAnsi" w:cstheme="minorHAnsi"/>
          <w:b/>
          <w:bCs/>
        </w:rPr>
      </w:pPr>
      <w:r w:rsidRPr="00F469E6">
        <w:rPr>
          <w:rFonts w:asciiTheme="minorHAnsi" w:hAnsiTheme="minorHAnsi" w:cstheme="minorHAnsi"/>
          <w:b/>
          <w:bCs/>
          <w:lang w:val="es-ES"/>
        </w:rPr>
        <w:t xml:space="preserve">Resolución </w:t>
      </w:r>
      <w:r w:rsidRPr="00F469E6">
        <w:rPr>
          <w:rFonts w:asciiTheme="minorHAnsi" w:hAnsiTheme="minorHAnsi" w:cstheme="minorHAnsi"/>
          <w:b/>
          <w:bCs/>
        </w:rPr>
        <w:t>sobre el Papel de Camboya en la Consolidación de la Paz</w:t>
      </w:r>
    </w:p>
    <w:p w14:paraId="4172454E" w14:textId="3AB26D48" w:rsidR="00F469E6" w:rsidRPr="00F469E6" w:rsidRDefault="00F469E6" w:rsidP="00F469E6">
      <w:pPr>
        <w:pStyle w:val="NormalWeb"/>
        <w:jc w:val="both"/>
        <w:rPr>
          <w:rFonts w:asciiTheme="minorHAnsi" w:hAnsiTheme="minorHAnsi" w:cstheme="minorHAnsi"/>
        </w:rPr>
      </w:pPr>
      <w:r w:rsidRPr="00F469E6">
        <w:rPr>
          <w:rFonts w:asciiTheme="minorHAnsi" w:hAnsiTheme="minorHAnsi" w:cstheme="minorHAnsi"/>
        </w:rPr>
        <w:t xml:space="preserve">La experiencia de Camboya en la consolidación de la paz, justicia transicional y reconciliación ha sido única. Los miembros de la </w:t>
      </w:r>
      <w:r>
        <w:rPr>
          <w:rFonts w:asciiTheme="minorHAnsi" w:hAnsiTheme="minorHAnsi" w:cstheme="minorHAnsi"/>
          <w:lang w:val="es-ES"/>
        </w:rPr>
        <w:t>IDC-</w:t>
      </w:r>
      <w:r w:rsidRPr="00F469E6">
        <w:rPr>
          <w:rFonts w:asciiTheme="minorHAnsi" w:hAnsiTheme="minorHAnsi" w:cstheme="minorHAnsi"/>
        </w:rPr>
        <w:t>CDI reconocen el compromiso con los objetivos de consolidar la paz, promover el crecimiento sostenible y mejorar el nivel de vida de los ciudadanos camboyanos mediante reformas integrales de los marcos legales, institucionales y de políticas del país.</w:t>
      </w:r>
    </w:p>
    <w:p w14:paraId="57D995C7" w14:textId="74BB8FCC" w:rsidR="00F469E6" w:rsidRPr="00F469E6" w:rsidRDefault="00F469E6" w:rsidP="00F469E6">
      <w:pPr>
        <w:pStyle w:val="NormalWeb"/>
        <w:jc w:val="both"/>
        <w:rPr>
          <w:rFonts w:asciiTheme="minorHAnsi" w:hAnsiTheme="minorHAnsi" w:cstheme="minorHAnsi"/>
        </w:rPr>
      </w:pPr>
      <w:r w:rsidRPr="00F469E6">
        <w:rPr>
          <w:rFonts w:asciiTheme="minorHAnsi" w:hAnsiTheme="minorHAnsi" w:cstheme="minorHAnsi"/>
        </w:rPr>
        <w:t xml:space="preserve">Además, la </w:t>
      </w:r>
      <w:r>
        <w:rPr>
          <w:rFonts w:asciiTheme="minorHAnsi" w:hAnsiTheme="minorHAnsi" w:cstheme="minorHAnsi"/>
          <w:lang w:val="es-ES"/>
        </w:rPr>
        <w:t>IDC-</w:t>
      </w:r>
      <w:r w:rsidRPr="00F469E6">
        <w:rPr>
          <w:rFonts w:asciiTheme="minorHAnsi" w:hAnsiTheme="minorHAnsi" w:cstheme="minorHAnsi"/>
        </w:rPr>
        <w:t>CDI reconoce las contribuciones y experiencias de Camboya en los campos de mantenimiento de la paz y desminado bajo el marco de las Naciones Unidas, justicia transicional, conectividad cultural y diplomacia de paz. Las Cámaras Extraordinarias en los Tribunales de Camboya (CETC) fueron el primer tribunal híbrido bajo las leyes camboyanas con el apoyo de las Naciones Unidas, establecido en el país de origen de las víctimas, para procesar a los líderes superiores del Jemer Rojo y a los más responsables de crímenes contra la humanidad, genocidio y graves violaciones de la Convención de Ginebra de 1949. Las CETC también ganaron el primer lugar en los Juegos Archivísticos 2024, una competencia global para archivistas y gestores de registros.</w:t>
      </w:r>
    </w:p>
    <w:p w14:paraId="5153E855" w14:textId="575D4D42" w:rsidR="00F469E6" w:rsidRPr="00F469E6" w:rsidRDefault="00F469E6" w:rsidP="00F469E6">
      <w:pPr>
        <w:pStyle w:val="NormalWeb"/>
        <w:jc w:val="both"/>
        <w:rPr>
          <w:rFonts w:asciiTheme="minorHAnsi" w:hAnsiTheme="minorHAnsi" w:cstheme="minorHAnsi"/>
        </w:rPr>
      </w:pPr>
      <w:r w:rsidRPr="00F469E6">
        <w:rPr>
          <w:rFonts w:asciiTheme="minorHAnsi" w:hAnsiTheme="minorHAnsi" w:cstheme="minorHAnsi"/>
        </w:rPr>
        <w:t xml:space="preserve">Para un país que experimentó genocidio (para el cual la </w:t>
      </w:r>
      <w:r>
        <w:rPr>
          <w:rFonts w:asciiTheme="minorHAnsi" w:hAnsiTheme="minorHAnsi" w:cstheme="minorHAnsi"/>
          <w:lang w:val="es-ES"/>
        </w:rPr>
        <w:t>IDC-</w:t>
      </w:r>
      <w:r w:rsidRPr="00F469E6">
        <w:rPr>
          <w:rFonts w:asciiTheme="minorHAnsi" w:hAnsiTheme="minorHAnsi" w:cstheme="minorHAnsi"/>
        </w:rPr>
        <w:t>CDI emitió una resolución el 26 de enero de 2017 en el 38.º aniversario de la caída del Jemer Rojo), Camboya ha demostrado ser un modelo exitoso de país posconflicto y ha brindado una valiosa lección en construcción de paz, reconciliación nacional, resiliencia social y desarrollo sostenible.</w:t>
      </w:r>
    </w:p>
    <w:p w14:paraId="1B04D415" w14:textId="77777777" w:rsidR="00F469E6" w:rsidRPr="00F469E6" w:rsidRDefault="00F469E6" w:rsidP="00F469E6">
      <w:pPr>
        <w:pStyle w:val="NormalWeb"/>
        <w:jc w:val="both"/>
        <w:rPr>
          <w:rFonts w:asciiTheme="minorHAnsi" w:hAnsiTheme="minorHAnsi" w:cstheme="minorHAnsi"/>
        </w:rPr>
      </w:pPr>
      <w:r w:rsidRPr="00F469E6">
        <w:rPr>
          <w:rFonts w:asciiTheme="minorHAnsi" w:hAnsiTheme="minorHAnsi" w:cstheme="minorHAnsi"/>
        </w:rPr>
        <w:t>Desde 2006, Camboya ha demostrado su compromiso con la paz y seguridad globales al desplegar a casi 10,000 pacificadores camboyanos en varias misiones de paz de la ONU en todo el mundo. La participación activa de Camboya en los esfuerzos de mantenimiento de la paz ha sido reconocida a nivel mundial, y la ONU ubica a Camboya en el puesto 28 entre 193 países por sus contribuciones a las misiones de paz, y en el puesto 12 a nivel global por sus esfuerzos destacados en el despliegue de mujeres pacificadoras en el extranjero.</w:t>
      </w:r>
    </w:p>
    <w:p w14:paraId="2348DCE2" w14:textId="236B7147" w:rsidR="00F469E6" w:rsidRPr="00F469E6" w:rsidRDefault="00F469E6" w:rsidP="00F469E6">
      <w:pPr>
        <w:pStyle w:val="NormalWeb"/>
        <w:jc w:val="both"/>
        <w:rPr>
          <w:rFonts w:asciiTheme="minorHAnsi" w:hAnsiTheme="minorHAnsi" w:cstheme="minorHAnsi"/>
        </w:rPr>
      </w:pPr>
      <w:r w:rsidRPr="00F469E6">
        <w:rPr>
          <w:rFonts w:asciiTheme="minorHAnsi" w:hAnsiTheme="minorHAnsi" w:cstheme="minorHAnsi"/>
        </w:rPr>
        <w:t xml:space="preserve">Por estas razones, nosotros, la familia global de la </w:t>
      </w:r>
      <w:r>
        <w:rPr>
          <w:rFonts w:asciiTheme="minorHAnsi" w:hAnsiTheme="minorHAnsi" w:cstheme="minorHAnsi"/>
          <w:lang w:val="es-ES"/>
        </w:rPr>
        <w:t>IDC-</w:t>
      </w:r>
      <w:r w:rsidRPr="00F469E6">
        <w:rPr>
          <w:rFonts w:asciiTheme="minorHAnsi" w:hAnsiTheme="minorHAnsi" w:cstheme="minorHAnsi"/>
        </w:rPr>
        <w:t>CDI:</w:t>
      </w:r>
    </w:p>
    <w:p w14:paraId="3D4E86DE" w14:textId="72B3C5E3" w:rsidR="00F469E6" w:rsidRPr="00F469E6" w:rsidRDefault="00F469E6" w:rsidP="00F469E6">
      <w:pPr>
        <w:pStyle w:val="NormalWeb"/>
        <w:numPr>
          <w:ilvl w:val="0"/>
          <w:numId w:val="1"/>
        </w:numPr>
        <w:jc w:val="both"/>
        <w:rPr>
          <w:rFonts w:asciiTheme="minorHAnsi" w:hAnsiTheme="minorHAnsi" w:cstheme="minorHAnsi"/>
        </w:rPr>
      </w:pPr>
      <w:r w:rsidRPr="00F469E6">
        <w:rPr>
          <w:rFonts w:asciiTheme="minorHAnsi" w:hAnsiTheme="minorHAnsi" w:cstheme="minorHAnsi"/>
        </w:rPr>
        <w:t xml:space="preserve">Acogemos y apoyamos la iniciativa de Camboya de establecer la Carta Universal de la Paz y exhortamos a los partidos miembros de la </w:t>
      </w:r>
      <w:r>
        <w:rPr>
          <w:rFonts w:asciiTheme="minorHAnsi" w:hAnsiTheme="minorHAnsi" w:cstheme="minorHAnsi"/>
          <w:lang w:val="es-ES"/>
        </w:rPr>
        <w:t>IDC-</w:t>
      </w:r>
      <w:r w:rsidRPr="00F469E6">
        <w:rPr>
          <w:rFonts w:asciiTheme="minorHAnsi" w:hAnsiTheme="minorHAnsi" w:cstheme="minorHAnsi"/>
        </w:rPr>
        <w:t>CDI a considerar la cooperación en su implementación, ya que corresponde a los valores de paz, libertad de una prensa confiable y responsable, y la participación de jóvenes y mujeres en paz y seguridad, que son pilares fundamentales del trabajo de nuestra organización.</w:t>
      </w:r>
    </w:p>
    <w:p w14:paraId="00EE7363" w14:textId="28464694" w:rsidR="00F469E6" w:rsidRPr="00F469E6" w:rsidRDefault="00F469E6" w:rsidP="490F5E92">
      <w:pPr>
        <w:pStyle w:val="NormalWeb"/>
        <w:numPr>
          <w:ilvl w:val="0"/>
          <w:numId w:val="1"/>
        </w:numPr>
        <w:jc w:val="both"/>
        <w:rPr>
          <w:rFonts w:asciiTheme="minorHAnsi" w:hAnsiTheme="minorHAnsi" w:cstheme="minorBidi"/>
        </w:rPr>
      </w:pPr>
      <w:r w:rsidRPr="490F5E92">
        <w:rPr>
          <w:rFonts w:asciiTheme="minorHAnsi" w:hAnsiTheme="minorHAnsi" w:cstheme="minorBidi"/>
        </w:rPr>
        <w:t>Reiteramos nuestro compromiso de fortalecer el papel cada vez mayor de Camboya en la paz y la reconciliación a través de una cultura de paz en la región de Asia-Pacífico y como un estado puente en un nuevo orden mundial multipolar</w:t>
      </w:r>
      <w:r w:rsidRPr="490F5E92">
        <w:rPr>
          <w:rFonts w:asciiTheme="minorHAnsi" w:hAnsiTheme="minorHAnsi" w:cstheme="minorBidi"/>
          <w:lang w:val="es-ES"/>
        </w:rPr>
        <w:t>.</w:t>
      </w:r>
    </w:p>
    <w:p w14:paraId="6AB2B484" w14:textId="6FAC88E1" w:rsidR="00F469E6" w:rsidRPr="006D2F21" w:rsidRDefault="1EDD3336" w:rsidP="3C7DDC13">
      <w:pPr>
        <w:pStyle w:val="NormalWeb"/>
        <w:numPr>
          <w:ilvl w:val="0"/>
          <w:numId w:val="1"/>
        </w:numPr>
        <w:jc w:val="both"/>
        <w:rPr>
          <w:rFonts w:asciiTheme="minorHAnsi" w:eastAsiaTheme="minorEastAsia" w:hAnsiTheme="minorHAnsi" w:cstheme="minorBidi"/>
          <w:lang w:val="es-ES"/>
        </w:rPr>
      </w:pPr>
      <w:r w:rsidRPr="006D2F21">
        <w:rPr>
          <w:rFonts w:asciiTheme="minorHAnsi" w:eastAsiaTheme="minorEastAsia" w:hAnsiTheme="minorHAnsi" w:cstheme="minorBidi"/>
          <w:lang w:val="es-ES"/>
        </w:rPr>
        <w:t>Alentar al Partido Popular de Camboya y al gobierno del país a seguir invirtiendo en iniciativas para promover la paz y la reconciliación a nivel internacional</w:t>
      </w:r>
      <w:r w:rsidR="00F469E6" w:rsidRPr="006D2F21">
        <w:rPr>
          <w:rFonts w:asciiTheme="minorHAnsi" w:eastAsiaTheme="minorEastAsia" w:hAnsiTheme="minorHAnsi" w:cstheme="minorBidi"/>
          <w:lang w:val="es-ES"/>
        </w:rPr>
        <w:t>.</w:t>
      </w:r>
    </w:p>
    <w:p w14:paraId="632284B5" w14:textId="75D259E9" w:rsidR="3C7DDC13" w:rsidRPr="006D2F21" w:rsidRDefault="3C7DDC13" w:rsidP="3C7DDC13">
      <w:pPr>
        <w:pStyle w:val="NormalWeb"/>
        <w:ind w:left="720"/>
        <w:jc w:val="both"/>
        <w:rPr>
          <w:rFonts w:asciiTheme="minorHAnsi" w:eastAsiaTheme="minorEastAsia" w:hAnsiTheme="minorHAnsi" w:cstheme="minorBidi"/>
          <w:lang w:val="es-ES"/>
        </w:rPr>
      </w:pPr>
    </w:p>
    <w:p w14:paraId="0D362DB2" w14:textId="57AC1A2B" w:rsidR="00F42252" w:rsidRDefault="00F469E6" w:rsidP="6F7B2CAC">
      <w:pPr>
        <w:pStyle w:val="NormalWeb"/>
        <w:jc w:val="right"/>
        <w:rPr>
          <w:rFonts w:asciiTheme="minorHAnsi" w:hAnsiTheme="minorHAnsi" w:cstheme="minorBidi"/>
          <w:lang w:val="en-US"/>
        </w:rPr>
      </w:pPr>
      <w:proofErr w:type="spellStart"/>
      <w:r w:rsidRPr="6F7B2CAC">
        <w:rPr>
          <w:rFonts w:asciiTheme="minorHAnsi" w:hAnsiTheme="minorHAnsi" w:cstheme="minorBidi"/>
          <w:lang w:val="en-US"/>
        </w:rPr>
        <w:t>Comité</w:t>
      </w:r>
      <w:proofErr w:type="spellEnd"/>
      <w:r w:rsidRPr="6F7B2CAC">
        <w:rPr>
          <w:rFonts w:asciiTheme="minorHAnsi" w:hAnsiTheme="minorHAnsi" w:cstheme="minorBidi"/>
          <w:lang w:val="en-US"/>
        </w:rPr>
        <w:t xml:space="preserve"> </w:t>
      </w:r>
      <w:proofErr w:type="spellStart"/>
      <w:r w:rsidRPr="6F7B2CAC">
        <w:rPr>
          <w:rFonts w:asciiTheme="minorHAnsi" w:hAnsiTheme="minorHAnsi" w:cstheme="minorBidi"/>
          <w:lang w:val="en-US"/>
        </w:rPr>
        <w:t>Ejecutivo</w:t>
      </w:r>
      <w:proofErr w:type="spellEnd"/>
      <w:r w:rsidRPr="6F7B2CAC">
        <w:rPr>
          <w:rFonts w:asciiTheme="minorHAnsi" w:hAnsiTheme="minorHAnsi" w:cstheme="minorBidi"/>
          <w:lang w:val="en-US"/>
        </w:rPr>
        <w:t xml:space="preserve"> – </w:t>
      </w:r>
      <w:proofErr w:type="spellStart"/>
      <w:r w:rsidRPr="6F7B2CAC">
        <w:rPr>
          <w:rFonts w:asciiTheme="minorHAnsi" w:hAnsiTheme="minorHAnsi" w:cstheme="minorBidi"/>
          <w:lang w:val="en-US"/>
        </w:rPr>
        <w:t>Siem</w:t>
      </w:r>
      <w:proofErr w:type="spellEnd"/>
      <w:r w:rsidRPr="6F7B2CAC">
        <w:rPr>
          <w:rFonts w:asciiTheme="minorHAnsi" w:hAnsiTheme="minorHAnsi" w:cstheme="minorBidi"/>
          <w:lang w:val="en-US"/>
        </w:rPr>
        <w:t xml:space="preserve"> Reap, </w:t>
      </w:r>
      <w:proofErr w:type="gramStart"/>
      <w:r w:rsidRPr="6F7B2CAC">
        <w:rPr>
          <w:rFonts w:asciiTheme="minorHAnsi" w:hAnsiTheme="minorHAnsi" w:cstheme="minorBidi"/>
          <w:lang w:val="en-US"/>
        </w:rPr>
        <w:t>18.11.24</w:t>
      </w:r>
      <w:proofErr w:type="gramEnd"/>
    </w:p>
    <w:sectPr w:rsidR="00F42252">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947F" w14:textId="77777777" w:rsidR="003E6919" w:rsidRDefault="003E6919" w:rsidP="00F469E6">
      <w:r>
        <w:separator/>
      </w:r>
    </w:p>
  </w:endnote>
  <w:endnote w:type="continuationSeparator" w:id="0">
    <w:p w14:paraId="3AA58945" w14:textId="77777777" w:rsidR="003E6919" w:rsidRDefault="003E6919" w:rsidP="00F4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86760540"/>
      <w:docPartObj>
        <w:docPartGallery w:val="Page Numbers (Bottom of Page)"/>
        <w:docPartUnique/>
      </w:docPartObj>
    </w:sdtPr>
    <w:sdtContent>
      <w:p w14:paraId="52FD6D30" w14:textId="00C585D9" w:rsidR="00F469E6" w:rsidRDefault="00F469E6" w:rsidP="00CC1B6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61BC911" w14:textId="77777777" w:rsidR="00F469E6" w:rsidRDefault="00F469E6" w:rsidP="00F469E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20599688"/>
      <w:docPartObj>
        <w:docPartGallery w:val="Page Numbers (Bottom of Page)"/>
        <w:docPartUnique/>
      </w:docPartObj>
    </w:sdtPr>
    <w:sdtContent>
      <w:p w14:paraId="4C1FAB14" w14:textId="5996FE64" w:rsidR="00F469E6" w:rsidRDefault="00F469E6" w:rsidP="00CC1B6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BEE9D92" w14:textId="77777777" w:rsidR="00F469E6" w:rsidRDefault="00F469E6" w:rsidP="00F469E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293A" w14:textId="77777777" w:rsidR="003E6919" w:rsidRDefault="003E6919" w:rsidP="00F469E6">
      <w:r>
        <w:separator/>
      </w:r>
    </w:p>
  </w:footnote>
  <w:footnote w:type="continuationSeparator" w:id="0">
    <w:p w14:paraId="3BAF6B91" w14:textId="77777777" w:rsidR="003E6919" w:rsidRDefault="003E6919" w:rsidP="00F4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0DAA" w14:textId="11EE3260" w:rsidR="00F469E6" w:rsidRDefault="00F469E6">
    <w:pPr>
      <w:pStyle w:val="Encabezado"/>
    </w:pPr>
    <w:r>
      <w:rPr>
        <w:noProof/>
      </w:rPr>
      <w:drawing>
        <wp:inline distT="0" distB="0" distL="0" distR="0" wp14:anchorId="7A0F5361" wp14:editId="38FEAD85">
          <wp:extent cx="1685925" cy="381000"/>
          <wp:effectExtent l="0" t="0" r="0" b="0"/>
          <wp:docPr id="243153068" name="Imagen 243153068" descr="cid:image001.png@01D588C7.4332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04B26"/>
    <w:multiLevelType w:val="multilevel"/>
    <w:tmpl w:val="897C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48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E6"/>
    <w:rsid w:val="00180648"/>
    <w:rsid w:val="0029281A"/>
    <w:rsid w:val="003E6919"/>
    <w:rsid w:val="006D2F21"/>
    <w:rsid w:val="00E8301C"/>
    <w:rsid w:val="00F42252"/>
    <w:rsid w:val="00F469E6"/>
    <w:rsid w:val="03284EC4"/>
    <w:rsid w:val="1EDD3336"/>
    <w:rsid w:val="3C7DDC13"/>
    <w:rsid w:val="490F5E92"/>
    <w:rsid w:val="6F7B2CAC"/>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decimalSymbol w:val=","/>
  <w:listSeparator w:val=";"/>
  <w14:docId w14:val="42E985AC"/>
  <w15:chartTrackingRefBased/>
  <w15:docId w15:val="{F0C77B70-4C33-5D40-BDE0-0811455B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69E6"/>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F469E6"/>
    <w:pPr>
      <w:tabs>
        <w:tab w:val="center" w:pos="4513"/>
        <w:tab w:val="right" w:pos="9026"/>
      </w:tabs>
    </w:pPr>
  </w:style>
  <w:style w:type="character" w:customStyle="1" w:styleId="EncabezadoCar">
    <w:name w:val="Encabezado Car"/>
    <w:basedOn w:val="Fuentedeprrafopredeter"/>
    <w:link w:val="Encabezado"/>
    <w:uiPriority w:val="99"/>
    <w:rsid w:val="00F469E6"/>
  </w:style>
  <w:style w:type="paragraph" w:styleId="Piedepgina">
    <w:name w:val="footer"/>
    <w:basedOn w:val="Normal"/>
    <w:link w:val="PiedepginaCar"/>
    <w:uiPriority w:val="99"/>
    <w:unhideWhenUsed/>
    <w:rsid w:val="00F469E6"/>
    <w:pPr>
      <w:tabs>
        <w:tab w:val="center" w:pos="4513"/>
        <w:tab w:val="right" w:pos="9026"/>
      </w:tabs>
    </w:pPr>
  </w:style>
  <w:style w:type="character" w:customStyle="1" w:styleId="PiedepginaCar">
    <w:name w:val="Pie de página Car"/>
    <w:basedOn w:val="Fuentedeprrafopredeter"/>
    <w:link w:val="Piedepgina"/>
    <w:uiPriority w:val="99"/>
    <w:rsid w:val="00F469E6"/>
  </w:style>
  <w:style w:type="character" w:styleId="Nmerodepgina">
    <w:name w:val="page number"/>
    <w:basedOn w:val="Fuentedeprrafopredeter"/>
    <w:uiPriority w:val="99"/>
    <w:semiHidden/>
    <w:unhideWhenUsed/>
    <w:rsid w:val="00F4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2535</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Alonso IDC-CDI Secretariat</dc:creator>
  <cp:keywords/>
  <dc:description/>
  <cp:lastModifiedBy>Teresa Alonso IDC-CDI Secretariat</cp:lastModifiedBy>
  <cp:revision>5</cp:revision>
  <dcterms:created xsi:type="dcterms:W3CDTF">2024-11-14T15:07:00Z</dcterms:created>
  <dcterms:modified xsi:type="dcterms:W3CDTF">2024-11-18T10:55:00Z</dcterms:modified>
</cp:coreProperties>
</file>